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13D9">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C813D9">
      <w:pPr>
        <w:pStyle w:val="NormalWeb"/>
      </w:pPr>
      <w:r>
        <w:t>MANU/SC/0700/200</w:t>
      </w:r>
      <w:r>
        <w:t>1</w:t>
      </w:r>
    </w:p>
    <w:p w:rsidR="00000000" w:rsidRDefault="00C813D9">
      <w:pPr>
        <w:pStyle w:val="rightalign"/>
      </w:pPr>
      <w:r>
        <w:rPr>
          <w:noProof/>
        </w:rPr>
        <w:drawing>
          <wp:inline distT="0" distB="0" distL="0" distR="0">
            <wp:extent cx="304800" cy="304800"/>
            <wp:effectExtent l="19050" t="0" r="0" b="0"/>
            <wp:docPr id="2" name="Picture 2" descr="C:\images\journal\uc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ucpdf.gif"/>
                    <pic:cNvPicPr>
                      <a:picLocks noChangeAspect="1" noChangeArrowheads="1"/>
                    </pic:cNvPicPr>
                  </pic:nvPicPr>
                  <pic:blipFill>
                    <a:blip r:link="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C813D9">
      <w:pPr>
        <w:pStyle w:val="NormalWeb"/>
      </w:pPr>
      <w:r>
        <w:rPr>
          <w:b/>
          <w:bCs/>
        </w:rPr>
        <w:t>Equivalent Citation:</w:t>
      </w:r>
      <w:r>
        <w:rPr>
          <w:b/>
          <w:bCs/>
        </w:rPr>
        <w:t xml:space="preserve"> </w:t>
      </w:r>
      <w:r>
        <w:t>2002(1)ACR148(SC), AIR2002SC16, 2002(1)ALT(Cri)43, (SCSuppl)2002(1)CHN7, 2002CriLJ218, 2002(1)Crimes164(SC), JT2001(9)SC407, 2001(7)SCALE602, (2002)1SCC622, 2002(1)UC176, 2002(1)UJ292</w:t>
      </w:r>
    </w:p>
    <w:p w:rsidR="00000000" w:rsidRDefault="00C813D9">
      <w:pPr>
        <w:pStyle w:val="centeralign"/>
      </w:pPr>
      <w:r>
        <w:rPr>
          <w:b/>
          <w:bCs/>
        </w:rPr>
        <w:t xml:space="preserve">IN THE </w:t>
      </w:r>
      <w:r>
        <w:rPr>
          <w:b/>
          <w:bCs/>
        </w:rPr>
        <w:t>SUPREME COURT OF INDIA</w:t>
      </w:r>
    </w:p>
    <w:p w:rsidR="00000000" w:rsidRDefault="00C813D9">
      <w:pPr>
        <w:pStyle w:val="centeralign"/>
      </w:pPr>
      <w:r>
        <w:t>Decided On:</w:t>
      </w:r>
      <w:r>
        <w:t xml:space="preserve"> </w:t>
      </w:r>
      <w:r>
        <w:t>02.11.200</w:t>
      </w:r>
      <w:r>
        <w:t>1</w:t>
      </w:r>
    </w:p>
    <w:p w:rsidR="00000000" w:rsidRDefault="00C813D9">
      <w:pPr>
        <w:pStyle w:val="centeralign"/>
      </w:pPr>
      <w:r>
        <w:t xml:space="preserve">Appellants: </w:t>
      </w:r>
      <w:r>
        <w:rPr>
          <w:b/>
          <w:bCs/>
        </w:rPr>
        <w:t>State of Maharashtra</w:t>
      </w:r>
      <w:r>
        <w:rPr>
          <w:b/>
          <w:bCs/>
        </w:rPr>
        <w:t xml:space="preserve"> </w:t>
      </w:r>
      <w:r>
        <w:br/>
      </w:r>
      <w:r>
        <w:rPr>
          <w:b/>
          <w:bCs/>
        </w:rPr>
        <w:t>vs.</w:t>
      </w:r>
      <w:r>
        <w:t xml:space="preserve"> </w:t>
      </w:r>
      <w:r>
        <w:br/>
        <w:t>Respondent:</w:t>
      </w:r>
      <w:r>
        <w:t xml:space="preserve"> </w:t>
      </w:r>
      <w:r>
        <w:rPr>
          <w:b/>
          <w:bCs/>
        </w:rPr>
        <w:t>Bharat Fakira Dhiwa</w:t>
      </w:r>
      <w:r>
        <w:rPr>
          <w:b/>
          <w:bCs/>
        </w:rPr>
        <w:t>r</w:t>
      </w:r>
    </w:p>
    <w:p w:rsidR="00000000" w:rsidRDefault="00C813D9">
      <w:pPr>
        <w:pStyle w:val="NormalWeb"/>
      </w:pPr>
      <w:r>
        <w:rPr>
          <w:b/>
          <w:bCs/>
        </w:rPr>
        <w:t>Hon'ble Judges/Coram:</w:t>
      </w:r>
      <w:r>
        <w:br/>
      </w:r>
      <w:r>
        <w:t>K. T. Thomas and</w:t>
      </w:r>
      <w:r>
        <w:t xml:space="preserve"> </w:t>
      </w:r>
      <w:r>
        <w:t>S. N. Variava , JJ</w:t>
      </w:r>
      <w:r>
        <w:t>.</w:t>
      </w:r>
      <w:r>
        <w:t xml:space="preserve"> </w:t>
      </w:r>
    </w:p>
    <w:p w:rsidR="00000000" w:rsidRDefault="00C813D9">
      <w:pPr>
        <w:pStyle w:val="NormalWeb"/>
      </w:pPr>
      <w:r>
        <w:rPr>
          <w:b/>
          <w:bCs/>
        </w:rPr>
        <w:t xml:space="preserve">Counsels: </w:t>
      </w:r>
      <w:r>
        <w:br/>
        <w:t>For Appellant/Petitioner/Plaintiff</w:t>
      </w:r>
      <w:r>
        <w:t>:</w:t>
      </w:r>
      <w:r>
        <w:t xml:space="preserve"> H.W. Dhabe, Sr. Adv.</w:t>
      </w:r>
      <w:r>
        <w:t>,</w:t>
      </w:r>
      <w:r>
        <w:t xml:space="preserve"> S.S. Shin</w:t>
      </w:r>
      <w:r>
        <w:t>de an</w:t>
      </w:r>
      <w:r>
        <w:t>d</w:t>
      </w:r>
      <w:r>
        <w:t xml:space="preserve"> S.V. Deshpande, Adv</w:t>
      </w:r>
      <w:r>
        <w:t>s</w:t>
      </w:r>
    </w:p>
    <w:p w:rsidR="00000000" w:rsidRDefault="00C813D9">
      <w:pPr>
        <w:pStyle w:val="NormalWeb"/>
      </w:pPr>
      <w:r>
        <w:t>For Respondents/Defendant</w:t>
      </w:r>
      <w:r>
        <w:t>:</w:t>
      </w:r>
      <w:r>
        <w:t xml:space="preserve"> : S. Muralidhar, Adv. (A.C.</w:t>
      </w:r>
      <w:r>
        <w:t>)</w:t>
      </w:r>
    </w:p>
    <w:p w:rsidR="00000000" w:rsidRDefault="00C813D9">
      <w:pPr>
        <w:pStyle w:val="NormalWeb"/>
      </w:pPr>
      <w:r>
        <w:rPr>
          <w:b/>
          <w:bCs/>
        </w:rPr>
        <w:t>Subject:</w:t>
      </w:r>
      <w:r>
        <w:rPr>
          <w:b/>
          <w:bCs/>
        </w:rPr>
        <w:t xml:space="preserve"> </w:t>
      </w:r>
      <w:r>
        <w:rPr>
          <w:b/>
          <w:bCs/>
        </w:rPr>
        <w:t>Crimina</w:t>
      </w:r>
      <w:r>
        <w:rPr>
          <w:b/>
          <w:bCs/>
        </w:rPr>
        <w:t>l</w:t>
      </w:r>
    </w:p>
    <w:p w:rsidR="00000000" w:rsidRDefault="00C813D9">
      <w:pPr>
        <w:pStyle w:val="NormalWeb"/>
      </w:pPr>
      <w:r>
        <w:rPr>
          <w:b/>
          <w:bCs/>
        </w:rPr>
        <w:t>Subject:</w:t>
      </w:r>
      <w:r>
        <w:rPr>
          <w:b/>
          <w:bCs/>
        </w:rPr>
        <w:t xml:space="preserve"> </w:t>
      </w:r>
      <w:r>
        <w:rPr>
          <w:b/>
          <w:bCs/>
        </w:rPr>
        <w:t>Law of Evidenc</w:t>
      </w:r>
      <w:r>
        <w:rPr>
          <w:b/>
          <w:bCs/>
        </w:rPr>
        <w:t>e</w:t>
      </w:r>
    </w:p>
    <w:p w:rsidR="00000000" w:rsidRDefault="00C813D9">
      <w:pPr>
        <w:pStyle w:val="NormalWeb"/>
      </w:pPr>
      <w:r>
        <w:rPr>
          <w:b/>
          <w:bCs/>
        </w:rPr>
        <w:t>Acts/Rules/Orders:</w:t>
      </w:r>
      <w:r>
        <w:br/>
        <w:t>Indian Penal Code, 1860 - Section 3</w:t>
      </w:r>
      <w:r>
        <w:t>4</w:t>
      </w:r>
      <w:r>
        <w:t>, Indian Penal Code, 1860 - Section 20</w:t>
      </w:r>
      <w:r>
        <w:t>1</w:t>
      </w:r>
      <w:r>
        <w:t>, Indian Penal Code, 1860 - Section</w:t>
      </w:r>
      <w:r>
        <w:t xml:space="preserve"> 30</w:t>
      </w:r>
      <w:r>
        <w:t>2</w:t>
      </w:r>
      <w:r>
        <w:t>, Indian Penal Code, 1860 - Section 36</w:t>
      </w:r>
      <w:r>
        <w:t>3</w:t>
      </w:r>
      <w:r>
        <w:t>, Indian Penal Code, 1860 - Section 37</w:t>
      </w:r>
      <w:r>
        <w:t>6</w:t>
      </w:r>
      <w:r>
        <w:t>; Indian Evidence Act - Section 2</w:t>
      </w:r>
      <w:r>
        <w:t>7</w:t>
      </w:r>
    </w:p>
    <w:p w:rsidR="00000000" w:rsidRDefault="00C813D9">
      <w:pPr>
        <w:pStyle w:val="NormalWeb"/>
      </w:pPr>
      <w:r>
        <w:rPr>
          <w:b/>
          <w:bCs/>
        </w:rPr>
        <w:t>Cases Referred:</w:t>
      </w:r>
      <w:r>
        <w:br/>
      </w:r>
      <w:r>
        <w:t>Panchhi v. Stae of U.P. MANU/SC/0530/1998 ;</w:t>
      </w:r>
      <w:r>
        <w:t xml:space="preserve"> </w:t>
      </w:r>
      <w:r>
        <w:t>Suryanarayana v. State of Karnataka MANU/SC/0001/2001</w:t>
      </w:r>
      <w:r>
        <w:t xml:space="preserve"> </w:t>
      </w:r>
      <w:r>
        <w:t>Baby Kandayanathil v. Sta</w:t>
      </w:r>
      <w:r>
        <w:t>te of Kerala MANU/SC/0339/1993</w:t>
      </w:r>
      <w:r>
        <w:t xml:space="preserve"> </w:t>
      </w:r>
      <w:r>
        <w:t>State of H.P. v. Jeet Singh MANU/SC/0165/1999</w:t>
      </w:r>
      <w:r>
        <w:t xml:space="preserve"> </w:t>
      </w:r>
      <w:r>
        <w:t>Jaffar Hussain Dastagir v. State of Maharashtra,</w:t>
      </w:r>
      <w:r>
        <w:t xml:space="preserve"> </w:t>
      </w:r>
      <w:r>
        <w:t>(1996) 2 SCC 87</w:t>
      </w:r>
      <w:r>
        <w:t>2</w:t>
      </w:r>
      <w:r>
        <w:t>;</w:t>
      </w:r>
      <w:r>
        <w:t xml:space="preserve"> </w:t>
      </w:r>
      <w:r>
        <w:t>K. Chinnaswamy Reddy v. State of A.P. MANU/SC/0133/1962 ;</w:t>
      </w:r>
      <w:r>
        <w:t xml:space="preserve"> </w:t>
      </w:r>
      <w:r>
        <w:t>Earabhadrappa v. State of Karnataka ;</w:t>
      </w:r>
      <w:r>
        <w:t xml:space="preserve"> </w:t>
      </w:r>
      <w:r>
        <w:t xml:space="preserve">Shamshul Kanwar </w:t>
      </w:r>
      <w:r>
        <w:t>v. State of U.P. MANU/SC/0337/1995</w:t>
      </w:r>
      <w:r>
        <w:t xml:space="preserve"> </w:t>
      </w:r>
      <w:r>
        <w:t>State of Rajasthan v. Bhup Singh MANU/SC/1602/1997</w:t>
      </w:r>
      <w:r>
        <w:t xml:space="preserve"> </w:t>
      </w:r>
      <w:r>
        <w:t>Bachan Singh v. State of Punjab MANU/SC/0111/1980</w:t>
      </w:r>
      <w:r>
        <w:t xml:space="preserve"> </w:t>
      </w:r>
    </w:p>
    <w:p w:rsidR="00000000" w:rsidRDefault="00C813D9">
      <w:pPr>
        <w:pStyle w:val="NormalWeb"/>
      </w:pPr>
      <w:r>
        <w:rPr>
          <w:b/>
          <w:bCs/>
        </w:rPr>
        <w:lastRenderedPageBreak/>
        <w:t xml:space="preserve">Ratio Decidendi: </w:t>
      </w:r>
      <w:r>
        <w:rPr>
          <w:b/>
          <w:bCs/>
        </w:rPr>
        <w:br/>
      </w:r>
      <w:r>
        <w:rPr>
          <w:b/>
          <w:bCs/>
          <w:i/>
          <w:iCs/>
        </w:rPr>
        <w:t xml:space="preserve">"If evidence is shown to have stood test of cross-examination and there is no infirmity in evidence, </w:t>
      </w:r>
      <w:r>
        <w:rPr>
          <w:b/>
          <w:bCs/>
          <w:i/>
          <w:iCs/>
        </w:rPr>
        <w:t>then a conviction can be based upon such testimony along.</w:t>
      </w:r>
      <w:r>
        <w:rPr>
          <w:b/>
          <w:bCs/>
          <w:i/>
          <w:iCs/>
        </w:rPr>
        <w:t>"</w:t>
      </w:r>
    </w:p>
    <w:p w:rsidR="00000000" w:rsidRDefault="00C813D9">
      <w:pPr>
        <w:pStyle w:val="NormalWeb"/>
      </w:pPr>
      <w:r>
        <w:rPr>
          <w:b/>
          <w:bCs/>
        </w:rPr>
        <w:t>Disposition:</w:t>
      </w:r>
      <w:r>
        <w:br/>
      </w:r>
      <w:r>
        <w:t>Impugned judgment set asid</w:t>
      </w:r>
      <w:r>
        <w:t>e</w:t>
      </w:r>
    </w:p>
    <w:p w:rsidR="00000000" w:rsidRDefault="00C813D9">
      <w:pPr>
        <w:pStyle w:val="NormalWeb"/>
      </w:pPr>
      <w:r>
        <w:rPr>
          <w:b/>
          <w:bCs/>
        </w:rPr>
        <w:t xml:space="preserve">Citing Reference: </w:t>
      </w:r>
      <w:r>
        <w:br/>
      </w:r>
      <w:r>
        <w:br/>
      </w:r>
      <w:r>
        <w:br/>
      </w:r>
    </w:p>
    <w:p w:rsidR="00000000" w:rsidRDefault="00C813D9">
      <w:pPr>
        <w:divId w:val="1586449531"/>
      </w:pPr>
      <w:r>
        <w:t>Dissented</w:t>
      </w:r>
    </w:p>
    <w:p w:rsidR="00000000" w:rsidRDefault="00C813D9">
      <w:pPr>
        <w:shd w:val="clear" w:color="auto" w:fill="FF0000"/>
        <w:spacing w:line="150" w:lineRule="atLeast"/>
        <w:divId w:val="939683318"/>
      </w:pPr>
      <w:r>
        <w:t> </w:t>
      </w:r>
    </w:p>
    <w:p w:rsidR="00000000" w:rsidRDefault="00C813D9">
      <w:pPr>
        <w:divId w:val="88308822"/>
      </w:pPr>
      <w:r>
        <w:t> 4</w:t>
      </w:r>
    </w:p>
    <w:p w:rsidR="00000000" w:rsidRDefault="00C813D9"/>
    <w:p w:rsidR="00000000" w:rsidRDefault="00C813D9">
      <w:pPr>
        <w:divId w:val="1829975050"/>
      </w:pPr>
      <w:r>
        <w:t>Mentioned</w:t>
      </w:r>
    </w:p>
    <w:p w:rsidR="00000000" w:rsidRDefault="00C813D9">
      <w:pPr>
        <w:shd w:val="clear" w:color="auto" w:fill="898989"/>
        <w:spacing w:line="150" w:lineRule="atLeast"/>
        <w:divId w:val="1857380768"/>
      </w:pPr>
      <w:r>
        <w:t> </w:t>
      </w:r>
    </w:p>
    <w:p w:rsidR="00000000" w:rsidRDefault="00C813D9">
      <w:pPr>
        <w:divId w:val="1984967326"/>
      </w:pPr>
      <w:r>
        <w:t> 6</w:t>
      </w:r>
    </w:p>
    <w:p w:rsidR="00000000" w:rsidRDefault="00C813D9"/>
    <w:p w:rsidR="00000000" w:rsidRDefault="00C813D9">
      <w:pPr>
        <w:pStyle w:val="NormalWeb"/>
      </w:pPr>
      <w:r>
        <w:rPr>
          <w:b/>
          <w:bCs/>
        </w:rPr>
        <w:t>Case Note:</w:t>
      </w:r>
      <w:r>
        <w:rPr>
          <w:b/>
          <w:bCs/>
        </w:rPr>
        <w:br/>
      </w:r>
      <w:r>
        <w:rPr>
          <w:b/>
          <w:bCs/>
        </w:rPr>
        <w:t xml:space="preserve">Indian Penal Code, 1860 - Sections 302, 376 and 201--Rape and murder of </w:t>
      </w:r>
      <w:r>
        <w:rPr>
          <w:b/>
          <w:bCs/>
        </w:rPr>
        <w:t>female child of three years--Conviction and death sentence by trial court--Acquittal by High Court--Validity--Circumstantial evidence--High Court erroneously discarding evidence of two child witnesses on untenable premises--Cross-examiner unable to make an</w:t>
      </w:r>
      <w:r>
        <w:rPr>
          <w:b/>
          <w:bCs/>
        </w:rPr>
        <w:t>y dent in testimony of two child witnesses having seen accused with white gunny bag blood dripping therefrom--When they were lighting fire crackers on Diwali day--Their evidence also supported by number of other circumstances--Judgment of High Court not su</w:t>
      </w:r>
      <w:r>
        <w:rPr>
          <w:b/>
          <w:bCs/>
        </w:rPr>
        <w:t>stainable and set aside--Though case near region of rarest of rare cases--Yet extreme penalty of death not imposable because accused once acquitted by High Court--Hence, death sentence awarded by trial court altered to life imprisonment</w:t>
      </w:r>
      <w:r>
        <w:rPr>
          <w:b/>
          <w:bCs/>
        </w:rPr>
        <w:t>.</w:t>
      </w:r>
    </w:p>
    <w:p w:rsidR="00000000" w:rsidRDefault="00C813D9">
      <w:pPr>
        <w:pStyle w:val="NormalWeb"/>
      </w:pPr>
      <w:r>
        <w:rPr>
          <w:b/>
          <w:bCs/>
        </w:rPr>
        <w:t>None of the reasons, given by the High Court, is sufficient for purposes of discarding the evidence of these two child-witnesses. To be remembered that the trial court, which had the opportunity of watching the demeanour and conduct of these two child-witn</w:t>
      </w:r>
      <w:r>
        <w:rPr>
          <w:b/>
          <w:bCs/>
        </w:rPr>
        <w:t xml:space="preserve">esses found them to be truthful. In our view, it is entirely irrelevant that the locality was full of houses. The High Court has erred in coming to the conclusion that it was not shown that the two children stayed in the locality. During cross-examination </w:t>
      </w:r>
      <w:r>
        <w:rPr>
          <w:b/>
          <w:bCs/>
        </w:rPr>
        <w:t>of both these child-witnesses, it has been put to them that they would have been lighting crackers near their house and that they could not have seen the respondent from near their house. This showed that even the defence accepted that they stayed in the l</w:t>
      </w:r>
      <w:r>
        <w:rPr>
          <w:b/>
          <w:bCs/>
        </w:rPr>
        <w:t>ocality. It is also in evidence that their house was merely 4/5 houses away from the house of P.W. 10, i.e., Shantabai. There is nothing strange in there being no other children bursting firecrackers at that time. On the contrary, it is highly unlikely tha</w:t>
      </w:r>
      <w:r>
        <w:rPr>
          <w:b/>
          <w:bCs/>
        </w:rPr>
        <w:t xml:space="preserve">t all the children in the locality would be lighting firecrackers at the </w:t>
      </w:r>
      <w:r>
        <w:rPr>
          <w:b/>
          <w:bCs/>
        </w:rPr>
        <w:lastRenderedPageBreak/>
        <w:t>same time and place. The High Court has also disbelieved them on the ground that, it is impossible that they would not have divulged such information to their parents. But there is no</w:t>
      </w:r>
      <w:r>
        <w:rPr>
          <w:b/>
          <w:bCs/>
        </w:rPr>
        <w:t>thing on record to show that they did not divulge this incident to their parents. No questions have been put to them in this regard. Therefore, the High Court was wrong in concluding that, their conduct in not divulging the incident to their parents was di</w:t>
      </w:r>
      <w:r>
        <w:rPr>
          <w:b/>
          <w:bCs/>
        </w:rPr>
        <w:t>fficult to believe. There are no material contradictions between the deposition given in court and the statement given by them to the police. There may be some minor contradictions but those are not of a material nature. The further reason given by the Hig</w:t>
      </w:r>
      <w:r>
        <w:rPr>
          <w:b/>
          <w:bCs/>
        </w:rPr>
        <w:t>h Court that the shirt had not been recovered could hardly be a reason for disbelieving these two child witnesses. It is quite possible that the respondent may have destroyed or hidden the shirt. Undoubtedly on 23rd October, 1995, i.e., date of occurrence,</w:t>
      </w:r>
      <w:r>
        <w:rPr>
          <w:b/>
          <w:bCs/>
        </w:rPr>
        <w:t xml:space="preserve"> the children would not know what was being carried in the jute bag. But on the next day when they heard about the little girl Nisha being missing, they would have put two and two together and known that blood was dripping from the bag because of the girl </w:t>
      </w:r>
      <w:r>
        <w:rPr>
          <w:b/>
          <w:bCs/>
        </w:rPr>
        <w:t>being carried in the bag</w:t>
      </w:r>
      <w:r>
        <w:rPr>
          <w:b/>
          <w:bCs/>
        </w:rPr>
        <w:t>.</w:t>
      </w:r>
    </w:p>
    <w:p w:rsidR="00000000" w:rsidRDefault="00C813D9">
      <w:pPr>
        <w:pStyle w:val="NormalWeb"/>
      </w:pPr>
      <w:r>
        <w:rPr>
          <w:b/>
          <w:bCs/>
        </w:rPr>
        <w:t>The trial court has found the evidence of the child-witnesses to be reliable and truthful. There has been searching cross-examination and both the child-witnesses have stood the test of cross-examination. The cross-examiner has no</w:t>
      </w:r>
      <w:r>
        <w:rPr>
          <w:b/>
          <w:bCs/>
        </w:rPr>
        <w:t>t been able to make any dent in the testimony of these two child-witnesses. There is no reason to disbelieve the child-witnesses</w:t>
      </w:r>
      <w:r>
        <w:rPr>
          <w:b/>
          <w:bCs/>
        </w:rPr>
        <w:t>.</w:t>
      </w:r>
    </w:p>
    <w:p w:rsidR="00000000" w:rsidRDefault="00C813D9">
      <w:pPr>
        <w:pStyle w:val="NormalWeb"/>
      </w:pPr>
      <w:r>
        <w:rPr>
          <w:b/>
          <w:bCs/>
        </w:rPr>
        <w:t>Even otherwise, their evidence is supported by a number of other circumstances which have been proved by the prosecution. Thes</w:t>
      </w:r>
      <w:r>
        <w:rPr>
          <w:b/>
          <w:bCs/>
        </w:rPr>
        <w:t>e two child-witnesses had seen the respondent going beyond the canal. The dead body was found beyond the canal. They had seen the respondent carrying a jute bag. Next to the dead body, a jute bag had been found. It was stained with human blood of group "B"</w:t>
      </w:r>
      <w:r>
        <w:rPr>
          <w:b/>
          <w:bCs/>
        </w:rPr>
        <w:t>. In the house of respondent, the ground had been found to be freshly covered with cow-dung. On the wall of the house, on a newspaper and a quilt found in the house, there were blood stains. The bloods stains on the newspaper were of group "B'. At the inst</w:t>
      </w:r>
      <w:r>
        <w:rPr>
          <w:b/>
          <w:bCs/>
        </w:rPr>
        <w:t>ance of the respondent, the grinding stone was recovered from tall grass. That grinding stone also contained blood of group "B". At the instance of the respondent, his full-pant and underwear were recovered from the sugarcane field where he had buried them</w:t>
      </w:r>
      <w:r>
        <w:rPr>
          <w:b/>
          <w:bCs/>
        </w:rPr>
        <w:t>. They also contained the blood of group "B'. All these circumstances, clearly and unerringly pointed to the guilt of the respondent. These circumstances strongly lend support to the evidence of the two child-witnesses. The High Court has wrongly ignored a</w:t>
      </w:r>
      <w:r>
        <w:rPr>
          <w:b/>
          <w:bCs/>
        </w:rPr>
        <w:t>nd/or brushed aside these circumstances</w:t>
      </w:r>
      <w:r>
        <w:rPr>
          <w:b/>
          <w:bCs/>
        </w:rPr>
        <w:t>.</w:t>
      </w:r>
    </w:p>
    <w:p w:rsidR="00000000" w:rsidRDefault="00C813D9">
      <w:pPr>
        <w:pStyle w:val="centeralign"/>
      </w:pPr>
      <w:r>
        <w:rPr>
          <w:b/>
          <w:bCs/>
        </w:rPr>
        <w:t>JUDGMENT</w:t>
      </w:r>
    </w:p>
    <w:p w:rsidR="00000000" w:rsidRDefault="00C813D9">
      <w:pPr>
        <w:pStyle w:val="NormalWeb"/>
      </w:pPr>
      <w:r>
        <w:rPr>
          <w:b/>
          <w:bCs/>
        </w:rPr>
        <w:t>S.N. Variava, J.</w:t>
      </w:r>
      <w:r>
        <w:t xml:space="preserve"> </w:t>
      </w:r>
    </w:p>
    <w:p w:rsidR="00000000" w:rsidRDefault="00C813D9">
      <w:pPr>
        <w:pStyle w:val="bodyaft"/>
      </w:pPr>
      <w:r>
        <w:t>1. This Appeal is against a Judgment dated 7</w:t>
      </w:r>
      <w:r>
        <w:rPr>
          <w:vertAlign w:val="superscript"/>
        </w:rPr>
        <w:t>th</w:t>
      </w:r>
      <w:r>
        <w:t xml:space="preserve"> July, 1997 of a Division Bench of the Bombay High Court as per which the conviction and sentence awarded to the respondent by a Sessions Cour</w:t>
      </w:r>
      <w:r>
        <w:t xml:space="preserve">t were set aside, and he was acquitted. </w:t>
      </w:r>
    </w:p>
    <w:p w:rsidR="00000000" w:rsidRDefault="00C813D9">
      <w:pPr>
        <w:pStyle w:val="bodyaft"/>
      </w:pPr>
      <w:r>
        <w:t xml:space="preserve">2. Briefly stated the facts are as follows: </w:t>
      </w:r>
    </w:p>
    <w:p w:rsidR="00000000" w:rsidRDefault="00C813D9">
      <w:pPr>
        <w:pStyle w:val="bodyaft"/>
      </w:pPr>
      <w:r>
        <w:lastRenderedPageBreak/>
        <w:t>On 23</w:t>
      </w:r>
      <w:r>
        <w:rPr>
          <w:vertAlign w:val="superscript"/>
        </w:rPr>
        <w:t>rd</w:t>
      </w:r>
      <w:r>
        <w:t xml:space="preserve"> October, 1995, which was a Diwali day, P.W. 10 one Shantabai and her son Satish had gone to the market for purchasing Puja articles and some fire crackers. When t</w:t>
      </w:r>
      <w:r>
        <w:t xml:space="preserve">hey returned home they found that Nisha (the daughter of Satish aged 3 years) was not at home. The efforts of all the members of the family to find out the young girl bore no fruits. Therefore, a missing report was lodged with the police station. </w:t>
      </w:r>
    </w:p>
    <w:p w:rsidR="00000000" w:rsidRDefault="00C813D9">
      <w:pPr>
        <w:pStyle w:val="bodyaft"/>
      </w:pPr>
      <w:r>
        <w:t>3. On 24</w:t>
      </w:r>
      <w:r>
        <w:rPr>
          <w:vertAlign w:val="superscript"/>
        </w:rPr>
        <w:t>th</w:t>
      </w:r>
      <w:r>
        <w:t xml:space="preserve"> October, 1995 P.W. 6 one Tanhabai Daokar went to the field to cut grass. There she noticed the dead body of a young girl lying among the sugarcane crop. Tanhabai then informed her son P.W.12 one Sitaram Deokar that she had seen a body living in the suga</w:t>
      </w:r>
      <w:r>
        <w:t>rcane field. Sitaram Deokar informed the police. In the meantime, Shantabai came to the police station to make enquiries. She was informed that there was the dead body of a young girl lying the field. Shantabai identified the dead body to be that of her gr</w:t>
      </w:r>
      <w:r>
        <w:t xml:space="preserve">and daughter Nisha. </w:t>
      </w:r>
    </w:p>
    <w:p w:rsidR="00000000" w:rsidRDefault="00C813D9">
      <w:pPr>
        <w:pStyle w:val="bodyaft"/>
      </w:pPr>
      <w:r>
        <w:t xml:space="preserve">4. At the time when the dead body was found in the sugarcane field one empty jute bag stained with blood was also found at the spot. The dead body was sent for post-mortem examination, which was conducted by P.W. 2 Dr. Anil Shinde who </w:t>
      </w:r>
      <w:r>
        <w:t xml:space="preserve">found the following external injuries: </w:t>
      </w:r>
    </w:p>
    <w:p w:rsidR="00000000" w:rsidRDefault="00C813D9">
      <w:pPr>
        <w:pStyle w:val="bodyaft"/>
      </w:pPr>
      <w:r>
        <w:t xml:space="preserve">"1. Over face C.L.W. on upper lip on both sides. 1/2"x1" in size and reddish in colour. </w:t>
      </w:r>
    </w:p>
    <w:p w:rsidR="00000000" w:rsidRDefault="00C813D9">
      <w:pPr>
        <w:pStyle w:val="bodyaft"/>
      </w:pPr>
      <w:r>
        <w:t xml:space="preserve">2. Injuries over head </w:t>
      </w:r>
    </w:p>
    <w:p w:rsidR="00000000" w:rsidRDefault="00C813D9">
      <w:pPr>
        <w:pStyle w:val="bodyaft"/>
      </w:pPr>
      <w:r>
        <w:t xml:space="preserve">Contused abrasion on right side of forehead 1 1/2"x1". </w:t>
      </w:r>
    </w:p>
    <w:p w:rsidR="00000000" w:rsidRDefault="00C813D9">
      <w:pPr>
        <w:pStyle w:val="bodyaft"/>
      </w:pPr>
      <w:r>
        <w:t xml:space="preserve">3. A large haemotoma over right side of frontal </w:t>
      </w:r>
      <w:r>
        <w:t xml:space="preserve">region, redish in colour. </w:t>
      </w:r>
    </w:p>
    <w:p w:rsidR="00000000" w:rsidRDefault="00C813D9">
      <w:pPr>
        <w:pStyle w:val="bodyaft"/>
      </w:pPr>
      <w:r>
        <w:t xml:space="preserve">4. Fracture of right frontal and right parital bones having redish margion. </w:t>
      </w:r>
    </w:p>
    <w:p w:rsidR="00000000" w:rsidRDefault="00C813D9">
      <w:pPr>
        <w:pStyle w:val="bodyaft"/>
      </w:pPr>
      <w:r>
        <w:t xml:space="preserve">On internal examination he noticed the following injuries: </w:t>
      </w:r>
    </w:p>
    <w:p w:rsidR="00000000" w:rsidRDefault="00C813D9">
      <w:pPr>
        <w:pStyle w:val="bodyaft"/>
      </w:pPr>
      <w:r>
        <w:t xml:space="preserve">1. Both labia majora were edematous and redish in colour. </w:t>
      </w:r>
    </w:p>
    <w:p w:rsidR="00000000" w:rsidRDefault="00C813D9">
      <w:pPr>
        <w:pStyle w:val="bodyaft"/>
      </w:pPr>
      <w:r>
        <w:t>2. Clitoria was oedematous, redis</w:t>
      </w:r>
      <w:r>
        <w:t xml:space="preserve">h in colour and has abrasion over it. 1/2" cm. X 1/2" cm. </w:t>
      </w:r>
    </w:p>
    <w:p w:rsidR="00000000" w:rsidRDefault="00C813D9">
      <w:pPr>
        <w:pStyle w:val="bodyaft"/>
      </w:pPr>
      <w:r>
        <w:t xml:space="preserve">3. Hymen was torn, vagina was also torn on anterior, posterior and lateral surfaces, over posterior. </w:t>
      </w:r>
    </w:p>
    <w:p w:rsidR="00000000" w:rsidRDefault="00C813D9">
      <w:pPr>
        <w:pStyle w:val="bodyaft"/>
      </w:pPr>
      <w:r>
        <w:t>4. Aspect vagina was found to be tore and the walls between vagina and rectum was also torn. Th</w:t>
      </w:r>
      <w:r>
        <w:t xml:space="preserve">is injury was redish in colour and blood cloths were seen." </w:t>
      </w:r>
    </w:p>
    <w:p w:rsidR="00000000" w:rsidRDefault="00C813D9">
      <w:pPr>
        <w:pStyle w:val="bodyaft"/>
      </w:pPr>
      <w:r>
        <w:t xml:space="preserve">Dr. Shinde opined that the cause of death was due to massive cerebral hemorrhage resulting from the head injury and that the little girl had been raped before being killed. </w:t>
      </w:r>
    </w:p>
    <w:p w:rsidR="00000000" w:rsidRDefault="00C813D9">
      <w:pPr>
        <w:pStyle w:val="bodyaft"/>
      </w:pPr>
      <w:r>
        <w:t>5. Two little boys P.</w:t>
      </w:r>
      <w:r>
        <w:t>Ws. 7 and 8, named Asif Fakir and Ramzan respectively, went to the house of Shantabai and informed the family that on 23</w:t>
      </w:r>
      <w:r>
        <w:rPr>
          <w:vertAlign w:val="superscript"/>
        </w:rPr>
        <w:t>rd</w:t>
      </w:r>
      <w:r>
        <w:t xml:space="preserve"> October, 1995, while they were burning crackers on the road, they had seen the Respondent carrying a bag on his shoulder and they had</w:t>
      </w:r>
      <w:r>
        <w:t xml:space="preserve"> noticed blood dripping from the bag. On receipt of this information Shantabai first went to the </w:t>
      </w:r>
      <w:r>
        <w:lastRenderedPageBreak/>
        <w:t>house of the Respondent but did not find him there. She, therefore, went to the police station and lodged a complaint which was treated as the First Informatio</w:t>
      </w:r>
      <w:r>
        <w:t xml:space="preserve">n Report. </w:t>
      </w:r>
    </w:p>
    <w:p w:rsidR="00000000" w:rsidRDefault="00C813D9">
      <w:pPr>
        <w:pStyle w:val="bodyaft"/>
      </w:pPr>
      <w:r>
        <w:t>6. Pursuant to this FIR a case was registered for offences under Sections 363 376 302 and 201 read with Section 34 of the Indian Penal Code. The Investigating Officer (P.W.13) went to the house of the Respondent. He found that the floor of the h</w:t>
      </w:r>
      <w:r>
        <w:t>ouse had been freshly covered with cow-dung. He found some traces of blood on the wall of the house. He also found a piece of newspaper and a quilt which were stained with blood. These items were seized by the Investigation Officer in the presence of Panch</w:t>
      </w:r>
      <w:r>
        <w:t xml:space="preserve">as. On the same day the Respondent and his mother were arrested and put up for trial. </w:t>
      </w:r>
    </w:p>
    <w:p w:rsidR="00000000" w:rsidRDefault="00C813D9">
      <w:pPr>
        <w:pStyle w:val="bodyaft"/>
      </w:pPr>
      <w:r>
        <w:t xml:space="preserve">7. It is the case of the prosecution that a grinding stone, which had blood stains on it, was recovered at the instance of the Respondent from a field of grass close to </w:t>
      </w:r>
      <w:r>
        <w:t>his house. It is also the case of prosecution that a full pant and an under pant belonging to the Respondent, and an underwear belonging to the little child were recovered at the instance of the Respondent from the sugarcane field where they had been burie</w:t>
      </w:r>
      <w:r>
        <w:t xml:space="preserve">d by him. </w:t>
      </w:r>
    </w:p>
    <w:p w:rsidR="00000000" w:rsidRDefault="00C813D9">
      <w:pPr>
        <w:pStyle w:val="bodyaft"/>
      </w:pPr>
      <w:r>
        <w:t xml:space="preserve">8. During the course of investigation the blood samples of the Respondent and the deceased Nisha were taken. It was ascertained that the blood group of the deceased Nisha was "B", whereas the blood group of the Respondent was "AB". The Chemical </w:t>
      </w:r>
      <w:r>
        <w:t xml:space="preserve">examination showed that the blood found on the gunny bag, the newspaper, the grinding stone and the full pant of the respondent was of group "B". </w:t>
      </w:r>
    </w:p>
    <w:p w:rsidR="00000000" w:rsidRDefault="00C813D9">
      <w:pPr>
        <w:pStyle w:val="bodyaft"/>
      </w:pPr>
      <w:r>
        <w:t>9. After the trial, the learned Sessions Judge acquitted the Respondent's mother, but convicted the Responden</w:t>
      </w:r>
      <w:r>
        <w:t>t under Section 302 IPC and sentenced him to death. The respondent was also convicted under Section 376 and sentenced to suffer rigorous imprisonment for 10 years and to pay a fine of Rs. 1,000/-. He was further convicted under Section 201 IPC and sentence</w:t>
      </w:r>
      <w:r>
        <w:t xml:space="preserve">d to 3 years R.I. and to pay a fine of Rs. 300/-. All the sentences were directed to run concurrently. The Respondent filed an Appeal. </w:t>
      </w:r>
    </w:p>
    <w:p w:rsidR="00000000" w:rsidRDefault="00C813D9">
      <w:pPr>
        <w:pStyle w:val="bodyaft"/>
      </w:pPr>
      <w:r>
        <w:t xml:space="preserve">10. The High Court set aside the order of conviction and acquitted the Respondent of all offences. Hence this Appeal. </w:t>
      </w:r>
    </w:p>
    <w:p w:rsidR="00000000" w:rsidRDefault="00C813D9">
      <w:pPr>
        <w:pStyle w:val="bodyaft"/>
      </w:pPr>
      <w:r>
        <w:t>1</w:t>
      </w:r>
      <w:r>
        <w:t>1. We have heard the parties and have read the evidence. We have also perused the material on record. In this case apart from a number of circumstances, as enumerated hereafter, there is the evidence of two child witnesses. The trial Court put several ques</w:t>
      </w:r>
      <w:r>
        <w:t xml:space="preserve">tions to ascertain whether the two child witnesses were aware of the sanctity of oath and whether the two child witnesses were aware of the sanctity of oath and whether they were able to understand the questions put to them. The trial Court found that the </w:t>
      </w:r>
      <w:r>
        <w:t xml:space="preserve">two child witnesses had answered all the questions properly. The trial Court was satisfied that they could understand the questions put to them. </w:t>
      </w:r>
    </w:p>
    <w:p w:rsidR="00000000" w:rsidRDefault="00C813D9">
      <w:pPr>
        <w:pStyle w:val="bodyaft"/>
      </w:pPr>
      <w:r>
        <w:t xml:space="preserve">12. Ashif Fakir was examined as P.W. 7. He deposed that on the Diwali day he and the other child witness were </w:t>
      </w:r>
      <w:r>
        <w:t xml:space="preserve">lighting crackers in an open place near the canal. He deposed that they saw the Respondent carrying one white jute bag from which blood was dripping out. He deposed that they saw the Respondent going towards the canal. He deposed that after some time they </w:t>
      </w:r>
      <w:r>
        <w:t xml:space="preserve">saw the Respondent coming back and at that time his shirt was stained with blood. He deposed that on </w:t>
      </w:r>
      <w:r>
        <w:lastRenderedPageBreak/>
        <w:t>seeing them the respondent took out his shirt and put it into his pocket. He deposed that on the next day when he heard that Nisha was missing, he told the</w:t>
      </w:r>
      <w:r>
        <w:t xml:space="preserve"> persons from the house of Nisha that they had seen the Respondent carrying the girl towards the canal. This child identified the Respondent in Court as being the person who had carried the gunny bag towards the canal. This child witness was cross-examined</w:t>
      </w:r>
      <w:r>
        <w:t xml:space="preserve"> at great length. In spite of searching cross-examination his testimony could not be shaken. </w:t>
      </w:r>
    </w:p>
    <w:p w:rsidR="00000000" w:rsidRDefault="00C813D9">
      <w:pPr>
        <w:pStyle w:val="bodyaft"/>
      </w:pPr>
      <w:r>
        <w:t>13. Ramzan was examined as P.W.3. He deposed that on Diwali day he and Asif were lighting crackers on the road near the canal. He deposed that they saw the Respondent carrying a jute bag of white colour and that the blood was dripping from the said bag. He</w:t>
      </w:r>
      <w:r>
        <w:t xml:space="preserve"> deposed that the Respondent was going towards the canal side. he deposed that the Respondent came back and on seeing them he removed his short and kept it in his pocket. He deposed that there were blood stains on the shirt. He deposed that on the next day</w:t>
      </w:r>
      <w:r>
        <w:t xml:space="preserve"> when they heard, about Nisha being missing, they went to the house of Nisha and informed them that they had seen the Respondent carrying Nisha. This child has also been subjected to a searching cross-examination. his testimony has also not been shaken in </w:t>
      </w:r>
      <w:r>
        <w:t xml:space="preserve">cross-examination. </w:t>
      </w:r>
    </w:p>
    <w:p w:rsidR="00000000" w:rsidRDefault="00C813D9">
      <w:pPr>
        <w:pStyle w:val="bodyaft"/>
      </w:pPr>
      <w:r>
        <w:t xml:space="preserve">14. In the case of </w:t>
      </w:r>
      <w:r>
        <w:rPr>
          <w:i/>
          <w:iCs/>
        </w:rPr>
        <w:t xml:space="preserve">Panchhi </w:t>
      </w:r>
      <w:r>
        <w:t xml:space="preserve">v. </w:t>
      </w:r>
      <w:r>
        <w:rPr>
          <w:i/>
          <w:iCs/>
        </w:rPr>
        <w:t>State of U.P.</w:t>
      </w:r>
      <w:r>
        <w:t xml:space="preserve"> reported in</w:t>
      </w:r>
      <w:r>
        <w:t xml:space="preserve"> </w:t>
      </w:r>
      <w:r>
        <w:t>(1998) 7 SCC 7</w:t>
      </w:r>
      <w:r>
        <w:t>7</w:t>
      </w:r>
      <w:r>
        <w:t xml:space="preserve">, it has been held that it cannot be said that the evidence of a child witness would always stand irretrievably stigmatized. It was held that it is not the law that </w:t>
      </w:r>
      <w:r>
        <w:t>if a witness is a child, his evidence shall be rejected, even if it is found reliable. It was held that evidence of a child witness must be evaluated more carefully and with greater circumspection because a child is susceptible to be swayed by what other t</w:t>
      </w:r>
      <w:r>
        <w:t xml:space="preserve">ell him and thus a child witness is an easy prey to tutoring. It is held that it is more a rule of practical wisdom than a law. </w:t>
      </w:r>
    </w:p>
    <w:p w:rsidR="00000000" w:rsidRDefault="00C813D9">
      <w:pPr>
        <w:pStyle w:val="bodyaft"/>
      </w:pPr>
      <w:r>
        <w:t xml:space="preserve">15. In the case of </w:t>
      </w:r>
      <w:r>
        <w:rPr>
          <w:i/>
          <w:iCs/>
        </w:rPr>
        <w:t xml:space="preserve">Suryanarayana </w:t>
      </w:r>
      <w:r>
        <w:t xml:space="preserve">v. </w:t>
      </w:r>
      <w:r>
        <w:rPr>
          <w:i/>
          <w:iCs/>
        </w:rPr>
        <w:t xml:space="preserve">State of Karnataka </w:t>
      </w:r>
      <w:r>
        <w:t>reported in MANU/SC/0001/2001 : 2001CriLJ705 it has been held that the e</w:t>
      </w:r>
      <w:r>
        <w:t>vidence of a child witness cannot be discarded only on the ground of her being of teen age. It is held that the fact of a child witness would require the Court to scrutinise the evidence with care and caution. it is held that if the evidence is shown to ha</w:t>
      </w:r>
      <w:r>
        <w:t>ve stood the test of cross-examination and there is no infirmity in the evidence, then a conviction can be based upon such testimony along. It is held that corroboration of the testimony of a child witness is not a rule but a measure of caution and prudenc</w:t>
      </w:r>
      <w:r>
        <w:t>e. It is held that some discrepancies in the statement of a child witness cannot be made the basis for discarding the testimony. It is held that discrepancies in the deposition, if not in material particulars, would lend credence to the testimony of a chil</w:t>
      </w:r>
      <w:r>
        <w:t xml:space="preserve">d witness. It is held that while appreciating the evidence of the child witness, the courts are required to rule out the possibility of the child being tutored. </w:t>
      </w:r>
    </w:p>
    <w:p w:rsidR="00000000" w:rsidRDefault="00C813D9">
      <w:pPr>
        <w:pStyle w:val="bodyaft"/>
      </w:pPr>
      <w:r>
        <w:t xml:space="preserve">16. Similarly, in the case of Baby </w:t>
      </w:r>
      <w:r>
        <w:rPr>
          <w:i/>
          <w:iCs/>
        </w:rPr>
        <w:t xml:space="preserve">Kandayanathil </w:t>
      </w:r>
      <w:r>
        <w:t xml:space="preserve">v. </w:t>
      </w:r>
      <w:r>
        <w:rPr>
          <w:i/>
          <w:iCs/>
        </w:rPr>
        <w:t xml:space="preserve">State of Kerala </w:t>
      </w:r>
      <w:r>
        <w:t>reported in MANU/SC/0339/1</w:t>
      </w:r>
      <w:r>
        <w:t xml:space="preserve">993 : 1993CriLJ2605 , this Court has held as follows: </w:t>
      </w:r>
    </w:p>
    <w:p w:rsidR="00000000" w:rsidRDefault="00C813D9">
      <w:pPr>
        <w:pStyle w:val="bodyaft"/>
      </w:pPr>
      <w:r>
        <w:t>"4. The learned trial Judge has put preliminary questions to each of the witnesses and satisfying himself that they were answering questions intelligently without any fear whatsoever, proceeded to reco</w:t>
      </w:r>
      <w:r>
        <w:t xml:space="preserve">rd the evidence. In the chief examination, each of the witnesses has given all the details of the occurrence. There has been a searching cross-examination and the witnesses withstood the same. We have also gone through the evidence and we see no ground to </w:t>
      </w:r>
      <w:r>
        <w:t xml:space="preserve">interfere. There are no </w:t>
      </w:r>
      <w:r>
        <w:lastRenderedPageBreak/>
        <w:t xml:space="preserve">merits in this appeal and the same is dismissed. The appellant who is on bail shall surrender and serve out the sentence and the bail bond stands cancelled." </w:t>
      </w:r>
    </w:p>
    <w:p w:rsidR="00000000" w:rsidRDefault="00C813D9">
      <w:pPr>
        <w:pStyle w:val="bodyaft"/>
      </w:pPr>
      <w:r>
        <w:t>17. The High Court disbelieved the evidence of the these two child witnes</w:t>
      </w:r>
      <w:r>
        <w:t xml:space="preserve">ses on the following grounds: </w:t>
      </w:r>
    </w:p>
    <w:p w:rsidR="00000000" w:rsidRDefault="00C813D9">
      <w:pPr>
        <w:pStyle w:val="bodyaft"/>
      </w:pPr>
      <w:r>
        <w:t xml:space="preserve">a) that the locality was full of houses and that there would have been a lot of people who would also have otherwise seen the Respondent; </w:t>
      </w:r>
    </w:p>
    <w:p w:rsidR="00000000" w:rsidRDefault="00C813D9">
      <w:pPr>
        <w:pStyle w:val="bodyaft"/>
      </w:pPr>
      <w:r>
        <w:t xml:space="preserve">b) that it has not been shown that the two children stayed in that locality; </w:t>
      </w:r>
    </w:p>
    <w:p w:rsidR="00000000" w:rsidRDefault="00C813D9">
      <w:pPr>
        <w:pStyle w:val="bodyaft"/>
      </w:pPr>
      <w:r>
        <w:t xml:space="preserve">c) that </w:t>
      </w:r>
      <w:r>
        <w:t xml:space="preserve">it was highly improbable that there will be no other child lighting fire crackers; </w:t>
      </w:r>
    </w:p>
    <w:p w:rsidR="00000000" w:rsidRDefault="00C813D9">
      <w:pPr>
        <w:pStyle w:val="bodyaft"/>
      </w:pPr>
      <w:r>
        <w:t xml:space="preserve">d) that it was impossible to believe that the children did not inform their parents of what they had seen; </w:t>
      </w:r>
    </w:p>
    <w:p w:rsidR="00000000" w:rsidRDefault="00C813D9">
      <w:pPr>
        <w:pStyle w:val="bodyaft"/>
      </w:pPr>
      <w:r>
        <w:t>e) that there were contradictions between the deposition given b</w:t>
      </w:r>
      <w:r>
        <w:t xml:space="preserve">y the children in Court and the statement given by them to the police; </w:t>
      </w:r>
    </w:p>
    <w:p w:rsidR="00000000" w:rsidRDefault="00C813D9">
      <w:pPr>
        <w:pStyle w:val="bodyaft"/>
      </w:pPr>
      <w:r>
        <w:t>f) that even if the children had seen the accused carrying a bag they could not have known that he was carrying the body of dead child. The High Court felt that the Respondent could ha</w:t>
      </w:r>
      <w:r>
        <w:t xml:space="preserve">ve been carrying anything else in the bag; </w:t>
      </w:r>
    </w:p>
    <w:p w:rsidR="00000000" w:rsidRDefault="00C813D9">
      <w:pPr>
        <w:pStyle w:val="bodyaft"/>
      </w:pPr>
      <w:r>
        <w:t xml:space="preserve">g) that the shirt which the Respondent was supposed to have removed was not recovered by the police and that this showed that the child witness were not trustworthy. </w:t>
      </w:r>
    </w:p>
    <w:p w:rsidR="00000000" w:rsidRDefault="00C813D9">
      <w:pPr>
        <w:pStyle w:val="bodyaft"/>
      </w:pPr>
      <w:r>
        <w:t>18. In our view, more of the aforesaid reason</w:t>
      </w:r>
      <w:r>
        <w:t>s, given by the High Court, is sufficient for purposes of discarding the evidence of these two child witnesses. To be remembered that the trial Court which had the opportunity of watching the demeanour and conduct of these two child witnesses found them to</w:t>
      </w:r>
      <w:r>
        <w:t xml:space="preserve"> be truthful. In our view it is entirely irrelevant that the locality was full of houses. The High Court has erred in coming to the conclusion that it was not shown that the two children stayed in the locality. During cross-examination of both child witnes</w:t>
      </w:r>
      <w:r>
        <w:t>ses, it has been put to them that they would have been lighting crackers near their house and that could not have seen the Respondent from near their house. This showed that even the defence accepted that they stayed in the locality. It is also in evidence</w:t>
      </w:r>
      <w:r>
        <w:t xml:space="preserve"> that their house was merely 4/5 houses away from the house of P.W. 10 i.e. Shantabai. There is nothing strange in there being no other children bursting fire crackers at that time. On the contrary, it is highly unlikely that all the children in the locali</w:t>
      </w:r>
      <w:r>
        <w:t>ty would be lighting fire crackers at the same time and place. The High Court has also disbelieved them on the ground that it is impossible that they would not have divulged such information to their parents. But there is nothing on record to show that the</w:t>
      </w:r>
      <w:r>
        <w:t>y did not divulge this incident to their parents. No questions have been put to them in this regard. Therefore the High Court was wrong in the concluding that their conduct in not divulging the incident to their parents was difficult to believe. We also do</w:t>
      </w:r>
      <w:r>
        <w:t xml:space="preserve"> not find any material contradictions between the deposition given in court and the statement given by them to the police. There may be some minor contradictions but those are not of a material nature. The further reason given by the High Court that the sh</w:t>
      </w:r>
      <w:r>
        <w:t xml:space="preserve">irt had not been recovered could hardly be a reason for disbelieving these two </w:t>
      </w:r>
      <w:r>
        <w:lastRenderedPageBreak/>
        <w:t>child witnesses. It is quite possible that the Respondent may have destroyed or hidden the shirt. Undoubtedly on 23</w:t>
      </w:r>
      <w:r>
        <w:rPr>
          <w:vertAlign w:val="superscript"/>
        </w:rPr>
        <w:t>rd</w:t>
      </w:r>
      <w:r>
        <w:t xml:space="preserve"> October, 1995, the children would not know what was being c</w:t>
      </w:r>
      <w:r>
        <w:t xml:space="preserve">arried in the jute bag. But on the next day when they heard about the little girl Nisha being missing, they would have put tow and two together and known that blood was dripping from the bag because of the girl being carried in the bag. </w:t>
      </w:r>
    </w:p>
    <w:p w:rsidR="00000000" w:rsidRDefault="00C813D9">
      <w:pPr>
        <w:pStyle w:val="bodyaft"/>
      </w:pPr>
      <w:r>
        <w:t>19. As stated abov</w:t>
      </w:r>
      <w:r>
        <w:t>e, the trial Court has found the evidence of the child witnesses to be reliable and truthful. We also find the evidence to be reliable and truthful. There has been searching cross-examination and both the child witnesses have stood the test of cross-examin</w:t>
      </w:r>
      <w:r>
        <w:t xml:space="preserve">ation. The cross-examiner has not been able to make any dent in the testimony of these two child witnesses. We, therefore, see no reason to disbelieve the child witnesses. </w:t>
      </w:r>
    </w:p>
    <w:p w:rsidR="00000000" w:rsidRDefault="00C813D9">
      <w:pPr>
        <w:pStyle w:val="bodyaft"/>
      </w:pPr>
      <w:r>
        <w:t>20. Even otherwise their evidence is supported by a number of other circumstances w</w:t>
      </w:r>
      <w:r>
        <w:t>hich have been proved by the prosecution. These two child witnesses had been the Respondent going beyond the canal. The dead body was found beyond the canal. They had seen the Respondent carrying a jute bag. Next to the dead body a jute bag had been found.</w:t>
      </w:r>
      <w:r>
        <w:t xml:space="preserve"> It was stained with human blood of group "B". In the house of Respondent the ground had been found to be freshly covered with cow-dung. On the wall of the house on a newspaper and a quite found in the house, there were blood stains. The blood stains on th</w:t>
      </w:r>
      <w:r>
        <w:t xml:space="preserve">e newspaper were of group "B". At the instance of the Respondent the grinding stone was recovered from tall grass. That grinding stone also contained blood of group "B". At the instance of the Respondent his full pant and underwear were recovered from the </w:t>
      </w:r>
      <w:r>
        <w:t>sugarcane field where he had buried them. They also contained the blood of group "B". All these circumstances clearly and unerringly pointed to the guilt of the Respondent. These circumstances strongly lend support to the evidence of the two child witnesse</w:t>
      </w:r>
      <w:r>
        <w:t xml:space="preserve">s. The High Court has wrongly ignored and/or brushed aside these circumstances. </w:t>
      </w:r>
    </w:p>
    <w:p w:rsidR="00000000" w:rsidRDefault="00C813D9">
      <w:pPr>
        <w:pStyle w:val="bodyaft"/>
      </w:pPr>
      <w:r>
        <w:t xml:space="preserve">21. Mr. Muralidhar submitted that, for the reasons given by the High Court, the evidence of the child witnesses should not be believed. This submission is not acceptable. Mr. </w:t>
      </w:r>
      <w:r>
        <w:t>Muralidhar further submitted that the grinding stone was found from an open place, i.e. from a place very close to the house of the Respondent. He submitted that the full pant was found from the same field where the body had been found. He submitted that s</w:t>
      </w:r>
      <w:r>
        <w:t xml:space="preserve">ince they were found from an open place no reliance can be placed on such recoveries. This Court has observed, in the case of </w:t>
      </w:r>
      <w:r>
        <w:rPr>
          <w:i/>
          <w:iCs/>
        </w:rPr>
        <w:t xml:space="preserve">State of H.P. </w:t>
      </w:r>
      <w:r>
        <w:t xml:space="preserve">v. </w:t>
      </w:r>
      <w:r>
        <w:rPr>
          <w:i/>
          <w:iCs/>
        </w:rPr>
        <w:t xml:space="preserve">Jeet Singh </w:t>
      </w:r>
      <w:r>
        <w:t xml:space="preserve">reported in MANU/SC/0165/1999 : 1999CriLJ2025 , as follows: </w:t>
      </w:r>
    </w:p>
    <w:p w:rsidR="00000000" w:rsidRDefault="00C813D9">
      <w:pPr>
        <w:pStyle w:val="bodyaft"/>
      </w:pPr>
      <w:r>
        <w:t>"26. There is nothing in Section 27 of th</w:t>
      </w:r>
      <w:r>
        <w:t>e Evidence Act which renders the statement of the accused inadmissible if recovery of the articles was made from any place which is "open or accessible to others". It is a fallacious notion that when recovery of any incriminating article was made from a pl</w:t>
      </w:r>
      <w:r>
        <w:t>ace which is open or accessible to others, it would vitiate the evidence under Section 27 of the Evidence Act. Any object can be concealed in places which are open or accessible to others. For example, if the article is buried in the main roadside or if it</w:t>
      </w:r>
      <w:r>
        <w:t xml:space="preserve"> is concealed beneath dry leaves lying on public places or kept hidden in a public office, the article would remain out of the visibility of others in normal circumstances. Until such article is disinterred, its hidden state would remain unhampered. The pe</w:t>
      </w:r>
      <w:r>
        <w:t>rson who hid it along knows where it is until he discloses that fact to any other person. Hence, the crucial question is not whether the place was accessible to others or not but whether it was ordinarily visible to others. If it is not, then it is immater</w:t>
      </w:r>
      <w:r>
        <w:t xml:space="preserve">ial that the concealed place is accessible to others. </w:t>
      </w:r>
    </w:p>
    <w:p w:rsidR="00000000" w:rsidRDefault="00C813D9">
      <w:pPr>
        <w:pStyle w:val="bodyaft"/>
      </w:pPr>
      <w:r>
        <w:lastRenderedPageBreak/>
        <w:t>27. It is now well settled that the discovery of fact referred to in Section 27 of the Evidence Act is not the object recovered but the fact embraces the place from which the object is recovered and th</w:t>
      </w:r>
      <w:r>
        <w:t>e knowledge of the accused as to it. The said ratio has received unreserved approval of this Court in successive decisions. (</w:t>
      </w:r>
      <w:r>
        <w:rPr>
          <w:i/>
          <w:iCs/>
        </w:rPr>
        <w:t xml:space="preserve"> Jaffar Hussain Dastagir </w:t>
      </w:r>
      <w:r>
        <w:t xml:space="preserve">v. </w:t>
      </w:r>
      <w:r>
        <w:rPr>
          <w:i/>
          <w:iCs/>
        </w:rPr>
        <w:t xml:space="preserve">State of Maharashtra </w:t>
      </w:r>
      <w:r>
        <w:t xml:space="preserve">MANU/SC/0106/1969 : 1970CriLJ1659 . </w:t>
      </w:r>
      <w:r>
        <w:rPr>
          <w:i/>
          <w:iCs/>
        </w:rPr>
        <w:t xml:space="preserve">K. Chinnaswamy Reddy </w:t>
      </w:r>
      <w:r>
        <w:t xml:space="preserve">v. </w:t>
      </w:r>
      <w:r>
        <w:rPr>
          <w:i/>
          <w:iCs/>
        </w:rPr>
        <w:t xml:space="preserve">State of A.P. </w:t>
      </w:r>
      <w:r>
        <w:t>MANU/SC/</w:t>
      </w:r>
      <w:r>
        <w:t xml:space="preserve">0133/1962 : [1963]3SCR412 </w:t>
      </w:r>
      <w:r>
        <w:rPr>
          <w:i/>
          <w:iCs/>
        </w:rPr>
        <w:t xml:space="preserve">Earabhadrappa </w:t>
      </w:r>
      <w:r>
        <w:t xml:space="preserve">v. </w:t>
      </w:r>
      <w:r>
        <w:rPr>
          <w:i/>
          <w:iCs/>
        </w:rPr>
        <w:t>State of Karnataka</w:t>
      </w:r>
      <w:r>
        <w:rPr>
          <w:i/>
          <w:iCs/>
        </w:rPr>
        <w:t xml:space="preserve"> </w:t>
      </w:r>
      <w:r>
        <w:t>(1988) 2 SCC 33</w:t>
      </w:r>
      <w:r>
        <w:t>0</w:t>
      </w:r>
      <w:r>
        <w:t xml:space="preserve">. </w:t>
      </w:r>
      <w:r>
        <w:rPr>
          <w:i/>
          <w:iCs/>
        </w:rPr>
        <w:t xml:space="preserve">Shamshul Kanwar </w:t>
      </w:r>
      <w:r>
        <w:t xml:space="preserve">v. </w:t>
      </w:r>
      <w:r>
        <w:rPr>
          <w:i/>
          <w:iCs/>
        </w:rPr>
        <w:t xml:space="preserve">State of U.P. </w:t>
      </w:r>
      <w:r>
        <w:t xml:space="preserve">MANU/SC/0337/1995 : [1995]3SCR1197 . </w:t>
      </w:r>
      <w:r>
        <w:rPr>
          <w:i/>
          <w:iCs/>
        </w:rPr>
        <w:t xml:space="preserve">State of Rajasthan </w:t>
      </w:r>
      <w:r>
        <w:t xml:space="preserve">v. </w:t>
      </w:r>
      <w:r>
        <w:rPr>
          <w:i/>
          <w:iCs/>
        </w:rPr>
        <w:t xml:space="preserve">Bhup Singh </w:t>
      </w:r>
      <w:r>
        <w:t xml:space="preserve">MANU/SC/1602/1997." </w:t>
      </w:r>
    </w:p>
    <w:p w:rsidR="00000000" w:rsidRDefault="00C813D9">
      <w:pPr>
        <w:pStyle w:val="bodyaft"/>
      </w:pPr>
      <w:r>
        <w:t>22. In the present case the grinding stone was found</w:t>
      </w:r>
      <w:r>
        <w:t xml:space="preserve"> in tall grass. The pant and underwear were buried. They were out of visibility of others in normal circumstances. Until they were disinterred, at instance of Respondent, their hidden state had remained unhampered. The Respondent alone knew where they were</w:t>
      </w:r>
      <w:r>
        <w:t xml:space="preserve"> until he disclosed it. Thus we see no substance in this submission also. </w:t>
      </w:r>
    </w:p>
    <w:p w:rsidR="00000000" w:rsidRDefault="00C813D9">
      <w:pPr>
        <w:pStyle w:val="bodyaft"/>
      </w:pPr>
      <w:r>
        <w:t>23. Under these circumstances, in our view, the impugned Judgment cannot be sustained and is hereby set aside. The Judgment of the trial Court convicting the accused is restored. Re</w:t>
      </w:r>
      <w:r>
        <w:t>garding sentence we would have concurred with the Sessions Court's view that the extreme penalty of death can be chosen for such a crime. However, as the accused was once acquitted by the High Court we refrain from imposing that extreme penalty in spite of</w:t>
      </w:r>
      <w:r>
        <w:t xml:space="preserve"> the fact that this case is perilously near the region of "rarest of the rate cases", as envisaged by the Constitution Bench in </w:t>
      </w:r>
      <w:r>
        <w:rPr>
          <w:i/>
          <w:iCs/>
        </w:rPr>
        <w:t xml:space="preserve">Bachan Singh </w:t>
      </w:r>
      <w:r>
        <w:t xml:space="preserve">v. </w:t>
      </w:r>
      <w:r>
        <w:rPr>
          <w:i/>
          <w:iCs/>
        </w:rPr>
        <w:t xml:space="preserve">State of Punjab </w:t>
      </w:r>
      <w:r>
        <w:t>MANU/SC/0111/1980 : 1980CriLJ636 . However, the lesser option is not unquestionably foreclosed a</w:t>
      </w:r>
      <w:r>
        <w:t>nd so we alter the sentence, in regard to the offence under Section 302 IPC, to imprisonment for life. The sentences imposed by the trial Court on all other counts would remain unaltered. We direct the Sessions Court, Ahmadnagar to take immediate and neces</w:t>
      </w:r>
      <w:r>
        <w:t xml:space="preserve">sary steps to put the accused in jail if he is not already in jail, for undergoing the sentence imposed on him. </w:t>
      </w:r>
    </w:p>
    <w:p w:rsidR="00C813D9" w:rsidRDefault="00C813D9">
      <w:pPr>
        <w:pStyle w:val="centeralign"/>
      </w:pPr>
      <w:r>
        <w:br/>
        <w:t>© Manupatra Information Solutions Pvt. Ltd.</w:t>
      </w:r>
    </w:p>
    <w:sectPr w:rsidR="00C81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EC53C8"/>
    <w:rsid w:val="00C813D9"/>
    <w:rsid w:val="00C82DBE"/>
    <w:rsid w:val="00EC53C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C82DBE"/>
    <w:rPr>
      <w:rFonts w:ascii="Tahoma" w:hAnsi="Tahoma" w:cs="Tahoma"/>
      <w:sz w:val="16"/>
      <w:szCs w:val="16"/>
    </w:rPr>
  </w:style>
  <w:style w:type="character" w:customStyle="1" w:styleId="BalloonTextChar">
    <w:name w:val="Balloon Text Char"/>
    <w:basedOn w:val="DefaultParagraphFont"/>
    <w:link w:val="BalloonText"/>
    <w:rsid w:val="00C82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49360">
      <w:marLeft w:val="0"/>
      <w:marRight w:val="0"/>
      <w:marTop w:val="75"/>
      <w:marBottom w:val="75"/>
      <w:divBdr>
        <w:top w:val="none" w:sz="0" w:space="0" w:color="auto"/>
        <w:left w:val="none" w:sz="0" w:space="0" w:color="auto"/>
        <w:bottom w:val="none" w:sz="0" w:space="0" w:color="auto"/>
        <w:right w:val="none" w:sz="0" w:space="0" w:color="auto"/>
      </w:divBdr>
      <w:divsChild>
        <w:div w:id="1586449531">
          <w:marLeft w:val="0"/>
          <w:marRight w:val="0"/>
          <w:marTop w:val="0"/>
          <w:marBottom w:val="0"/>
          <w:divBdr>
            <w:top w:val="none" w:sz="0" w:space="0" w:color="auto"/>
            <w:left w:val="none" w:sz="0" w:space="0" w:color="auto"/>
            <w:bottom w:val="none" w:sz="0" w:space="0" w:color="auto"/>
            <w:right w:val="none" w:sz="0" w:space="0" w:color="auto"/>
          </w:divBdr>
        </w:div>
        <w:div w:id="584340095">
          <w:marLeft w:val="0"/>
          <w:marRight w:val="0"/>
          <w:marTop w:val="75"/>
          <w:marBottom w:val="0"/>
          <w:divBdr>
            <w:top w:val="none" w:sz="0" w:space="0" w:color="auto"/>
            <w:left w:val="none" w:sz="0" w:space="0" w:color="auto"/>
            <w:bottom w:val="none" w:sz="0" w:space="0" w:color="auto"/>
            <w:right w:val="none" w:sz="0" w:space="0" w:color="auto"/>
          </w:divBdr>
          <w:divsChild>
            <w:div w:id="939683318">
              <w:marLeft w:val="0"/>
              <w:marRight w:val="0"/>
              <w:marTop w:val="0"/>
              <w:marBottom w:val="0"/>
              <w:divBdr>
                <w:top w:val="none" w:sz="0" w:space="0" w:color="auto"/>
                <w:left w:val="none" w:sz="0" w:space="0" w:color="auto"/>
                <w:bottom w:val="none" w:sz="0" w:space="0" w:color="auto"/>
                <w:right w:val="none" w:sz="0" w:space="0" w:color="auto"/>
              </w:divBdr>
            </w:div>
          </w:divsChild>
        </w:div>
        <w:div w:id="88308822">
          <w:marLeft w:val="0"/>
          <w:marRight w:val="0"/>
          <w:marTop w:val="0"/>
          <w:marBottom w:val="0"/>
          <w:divBdr>
            <w:top w:val="none" w:sz="0" w:space="0" w:color="auto"/>
            <w:left w:val="none" w:sz="0" w:space="0" w:color="auto"/>
            <w:bottom w:val="none" w:sz="0" w:space="0" w:color="auto"/>
            <w:right w:val="none" w:sz="0" w:space="0" w:color="auto"/>
          </w:divBdr>
        </w:div>
      </w:divsChild>
    </w:div>
    <w:div w:id="1638414085">
      <w:marLeft w:val="0"/>
      <w:marRight w:val="0"/>
      <w:marTop w:val="75"/>
      <w:marBottom w:val="75"/>
      <w:divBdr>
        <w:top w:val="none" w:sz="0" w:space="0" w:color="auto"/>
        <w:left w:val="none" w:sz="0" w:space="0" w:color="auto"/>
        <w:bottom w:val="none" w:sz="0" w:space="0" w:color="auto"/>
        <w:right w:val="none" w:sz="0" w:space="0" w:color="auto"/>
      </w:divBdr>
      <w:divsChild>
        <w:div w:id="1829975050">
          <w:marLeft w:val="0"/>
          <w:marRight w:val="0"/>
          <w:marTop w:val="0"/>
          <w:marBottom w:val="0"/>
          <w:divBdr>
            <w:top w:val="none" w:sz="0" w:space="0" w:color="auto"/>
            <w:left w:val="none" w:sz="0" w:space="0" w:color="auto"/>
            <w:bottom w:val="none" w:sz="0" w:space="0" w:color="auto"/>
            <w:right w:val="none" w:sz="0" w:space="0" w:color="auto"/>
          </w:divBdr>
        </w:div>
        <w:div w:id="1692149392">
          <w:marLeft w:val="0"/>
          <w:marRight w:val="0"/>
          <w:marTop w:val="75"/>
          <w:marBottom w:val="0"/>
          <w:divBdr>
            <w:top w:val="none" w:sz="0" w:space="0" w:color="auto"/>
            <w:left w:val="none" w:sz="0" w:space="0" w:color="auto"/>
            <w:bottom w:val="none" w:sz="0" w:space="0" w:color="auto"/>
            <w:right w:val="none" w:sz="0" w:space="0" w:color="auto"/>
          </w:divBdr>
          <w:divsChild>
            <w:div w:id="1857380768">
              <w:marLeft w:val="0"/>
              <w:marRight w:val="0"/>
              <w:marTop w:val="0"/>
              <w:marBottom w:val="0"/>
              <w:divBdr>
                <w:top w:val="none" w:sz="0" w:space="0" w:color="auto"/>
                <w:left w:val="none" w:sz="0" w:space="0" w:color="auto"/>
                <w:bottom w:val="none" w:sz="0" w:space="0" w:color="auto"/>
                <w:right w:val="none" w:sz="0" w:space="0" w:color="auto"/>
              </w:divBdr>
            </w:div>
          </w:divsChild>
        </w:div>
        <w:div w:id="19849673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uc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3773</Words>
  <Characters>21508</Characters>
  <Application>Microsoft Office Word</Application>
  <DocSecurity>0</DocSecurity>
  <Lines>179</Lines>
  <Paragraphs>50</Paragraphs>
  <ScaleCrop>false</ScaleCrop>
  <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2013-03-20T04:48:00Z</dcterms:created>
  <dcterms:modified xsi:type="dcterms:W3CDTF">2013-03-20T04:48:00Z</dcterms:modified>
</cp:coreProperties>
</file>